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985A7" w14:textId="77777777" w:rsidR="00CE0F54" w:rsidRPr="00856A7D" w:rsidRDefault="00CE0F54" w:rsidP="00CE0F54">
      <w:pPr>
        <w:pStyle w:val="BodyText"/>
        <w:spacing w:line="276" w:lineRule="auto"/>
        <w:ind w:left="3329"/>
        <w:rPr>
          <w:rFonts w:asciiTheme="minorHAnsi" w:hAnsiTheme="minorHAnsi" w:cstheme="minorHAnsi"/>
        </w:rPr>
      </w:pPr>
      <w:r w:rsidRPr="00856A7D">
        <w:rPr>
          <w:rFonts w:asciiTheme="minorHAnsi" w:hAnsiTheme="minorHAnsi" w:cstheme="minorHAnsi"/>
          <w:noProof/>
        </w:rPr>
        <w:drawing>
          <wp:inline distT="0" distB="0" distL="0" distR="0" wp14:anchorId="2869BA0F" wp14:editId="7B13A97D">
            <wp:extent cx="2232164" cy="653796"/>
            <wp:effectExtent l="0" t="0" r="0" b="0"/>
            <wp:docPr id="1" name="Image 1" descr="A black background with blu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blue tex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16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90466" w14:textId="77777777" w:rsidR="00CE0F54" w:rsidRPr="00856A7D" w:rsidRDefault="00CE0F54" w:rsidP="00CE0F54">
      <w:pPr>
        <w:pStyle w:val="BodyText"/>
        <w:spacing w:line="276" w:lineRule="auto"/>
        <w:rPr>
          <w:rFonts w:asciiTheme="minorHAnsi" w:hAnsiTheme="minorHAnsi" w:cstheme="minorHAnsi"/>
        </w:rPr>
      </w:pPr>
    </w:p>
    <w:p w14:paraId="230AA7C1" w14:textId="77777777" w:rsidR="00CE0F54" w:rsidRPr="00856A7D" w:rsidRDefault="00CE0F54" w:rsidP="00CE0F54">
      <w:pPr>
        <w:pStyle w:val="BodyText"/>
        <w:spacing w:before="3" w:line="276" w:lineRule="auto"/>
        <w:rPr>
          <w:rFonts w:asciiTheme="minorHAnsi" w:hAnsiTheme="minorHAnsi" w:cstheme="minorHAnsi"/>
        </w:rPr>
      </w:pPr>
      <w:r w:rsidRPr="00856A7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5A0AA9" wp14:editId="6557BE99">
                <wp:simplePos x="0" y="0"/>
                <wp:positionH relativeFrom="page">
                  <wp:posOffset>621791</wp:posOffset>
                </wp:positionH>
                <wp:positionV relativeFrom="paragraph">
                  <wp:posOffset>97560</wp:posOffset>
                </wp:positionV>
                <wp:extent cx="65303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0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0340" h="6350">
                              <a:moveTo>
                                <a:pt x="653008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530085" y="6096"/>
                              </a:lnTo>
                              <a:lnTo>
                                <a:pt x="653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255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78844" id="Graphic 2" o:spid="_x0000_s1026" style="position:absolute;margin-left:48.95pt;margin-top:7.7pt;width:514.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03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" path="m6530085,l,,,6096r6530085,l6530085,xe" fillcolor="#082554" stroked="f">
                <v:path arrowok="t"/>
                <w10:wrap type="topAndBottom" anchorx="page"/>
              </v:shape>
            </w:pict>
          </mc:Fallback>
        </mc:AlternateContent>
      </w:r>
    </w:p>
    <w:p w14:paraId="6AD26F3A" w14:textId="25F81B76" w:rsidR="00CE0F54" w:rsidRPr="00856A7D" w:rsidRDefault="00CE0F54" w:rsidP="00CE0F54">
      <w:pPr>
        <w:pStyle w:val="Title"/>
        <w:spacing w:line="276" w:lineRule="auto"/>
        <w:ind w:left="2880"/>
        <w:rPr>
          <w:rFonts w:asciiTheme="minorHAnsi" w:hAnsiTheme="minorHAnsi" w:cstheme="minorHAnsi"/>
          <w:b/>
          <w:bCs/>
          <w:color w:val="00A6D2"/>
          <w:w w:val="90"/>
          <w:sz w:val="22"/>
          <w:szCs w:val="22"/>
        </w:rPr>
      </w:pPr>
      <w:r w:rsidRPr="00856A7D">
        <w:rPr>
          <w:rFonts w:asciiTheme="minorHAnsi" w:hAnsiTheme="minorHAnsi" w:cstheme="minorHAnsi"/>
          <w:b/>
          <w:bCs/>
          <w:color w:val="00A6D2"/>
          <w:w w:val="90"/>
          <w:sz w:val="22"/>
          <w:szCs w:val="22"/>
        </w:rPr>
        <w:t>Windsor Framework, Article 2:</w:t>
      </w:r>
    </w:p>
    <w:p w14:paraId="2601F54A" w14:textId="77777777" w:rsidR="00CE0F54" w:rsidRPr="00856A7D" w:rsidRDefault="00CE0F54" w:rsidP="00CE0F54">
      <w:pPr>
        <w:pStyle w:val="Title"/>
        <w:spacing w:line="276" w:lineRule="auto"/>
        <w:ind w:left="2880"/>
        <w:rPr>
          <w:rFonts w:asciiTheme="minorHAnsi" w:hAnsiTheme="minorHAnsi" w:cstheme="minorHAnsi"/>
          <w:b/>
          <w:bCs/>
          <w:i/>
          <w:iCs/>
          <w:color w:val="00A6D2"/>
          <w:w w:val="90"/>
          <w:sz w:val="22"/>
          <w:szCs w:val="22"/>
        </w:rPr>
      </w:pPr>
      <w:r w:rsidRPr="00856A7D">
        <w:rPr>
          <w:rFonts w:asciiTheme="minorHAnsi" w:hAnsiTheme="minorHAnsi" w:cstheme="minorHAnsi"/>
          <w:b/>
          <w:bCs/>
          <w:i/>
          <w:iCs/>
          <w:color w:val="00A6D2"/>
          <w:w w:val="90"/>
          <w:sz w:val="22"/>
          <w:szCs w:val="22"/>
        </w:rPr>
        <w:t xml:space="preserve">where are we now after the Court of Appeal’s decision in the </w:t>
      </w:r>
      <w:r w:rsidRPr="00856A7D">
        <w:rPr>
          <w:rFonts w:asciiTheme="minorHAnsi" w:hAnsiTheme="minorHAnsi" w:cstheme="minorHAnsi"/>
          <w:b/>
          <w:bCs/>
          <w:color w:val="00A6D2"/>
          <w:w w:val="90"/>
          <w:sz w:val="22"/>
          <w:szCs w:val="22"/>
        </w:rPr>
        <w:t>Dillon</w:t>
      </w:r>
      <w:r w:rsidRPr="00856A7D">
        <w:rPr>
          <w:rFonts w:asciiTheme="minorHAnsi" w:hAnsiTheme="minorHAnsi" w:cstheme="minorHAnsi"/>
          <w:b/>
          <w:bCs/>
          <w:i/>
          <w:iCs/>
          <w:color w:val="00A6D2"/>
          <w:w w:val="90"/>
          <w:sz w:val="22"/>
          <w:szCs w:val="22"/>
        </w:rPr>
        <w:t xml:space="preserve"> (Legacy Act) case?</w:t>
      </w:r>
    </w:p>
    <w:p w14:paraId="342BDD0B" w14:textId="77777777" w:rsidR="00CE0F54" w:rsidRPr="00856A7D" w:rsidRDefault="00CE0F54" w:rsidP="00CE0F54">
      <w:pPr>
        <w:spacing w:line="276" w:lineRule="auto"/>
        <w:jc w:val="center"/>
        <w:rPr>
          <w:rFonts w:asciiTheme="minorHAnsi" w:hAnsiTheme="minorHAnsi" w:cstheme="minorHAnsi"/>
          <w:color w:val="082249"/>
        </w:rPr>
      </w:pPr>
    </w:p>
    <w:p w14:paraId="11CBBB93" w14:textId="222C7758" w:rsidR="00CE0F54" w:rsidRPr="00856A7D" w:rsidRDefault="00CE0F54" w:rsidP="00CE0F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56A7D">
        <w:rPr>
          <w:rFonts w:asciiTheme="minorHAnsi" w:hAnsiTheme="minorHAnsi" w:cstheme="minorHAnsi"/>
          <w:b/>
          <w:bCs/>
          <w:color w:val="082249"/>
        </w:rPr>
        <w:t>Date: 24</w:t>
      </w:r>
      <w:r w:rsidRPr="00856A7D">
        <w:rPr>
          <w:rFonts w:asciiTheme="minorHAnsi" w:hAnsiTheme="minorHAnsi" w:cstheme="minorHAnsi"/>
          <w:b/>
          <w:bCs/>
          <w:color w:val="082249"/>
          <w:vertAlign w:val="superscript"/>
        </w:rPr>
        <w:t>th</w:t>
      </w:r>
      <w:r w:rsidRPr="00856A7D">
        <w:rPr>
          <w:rFonts w:asciiTheme="minorHAnsi" w:hAnsiTheme="minorHAnsi" w:cstheme="minorHAnsi"/>
          <w:b/>
          <w:bCs/>
          <w:color w:val="082249"/>
        </w:rPr>
        <w:t xml:space="preserve"> October 2024</w:t>
      </w:r>
    </w:p>
    <w:p w14:paraId="4FE7C24E" w14:textId="0154D2C9" w:rsidR="00CE0F54" w:rsidRPr="00856A7D" w:rsidRDefault="00CE0F54" w:rsidP="00CE0F54">
      <w:pPr>
        <w:pStyle w:val="BodyText"/>
        <w:spacing w:line="276" w:lineRule="auto"/>
        <w:ind w:left="888" w:right="887"/>
        <w:jc w:val="center"/>
        <w:rPr>
          <w:rFonts w:asciiTheme="minorHAnsi" w:hAnsiTheme="minorHAnsi" w:cstheme="minorHAnsi"/>
        </w:rPr>
      </w:pPr>
      <w:r w:rsidRPr="00856A7D">
        <w:rPr>
          <w:rFonts w:asciiTheme="minorHAnsi" w:hAnsiTheme="minorHAnsi" w:cstheme="minorHAnsi"/>
          <w:b/>
          <w:color w:val="082249"/>
        </w:rPr>
        <w:t>Venue: Moot Court Room, QUB School of Law, Belfast</w:t>
      </w:r>
    </w:p>
    <w:p w14:paraId="09160441" w14:textId="77777777" w:rsidR="00CE0F54" w:rsidRPr="00856A7D" w:rsidRDefault="00CE0F54" w:rsidP="00CE0F54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8682F31" w14:textId="77777777" w:rsidR="00CE0F54" w:rsidRPr="00856A7D" w:rsidRDefault="00CE0F54" w:rsidP="00CE0F54">
      <w:pPr>
        <w:spacing w:before="2"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8241"/>
      </w:tblGrid>
      <w:tr w:rsidR="00CE0F54" w:rsidRPr="00856A7D" w14:paraId="2B2A78DF" w14:textId="77777777" w:rsidTr="00593F2A">
        <w:trPr>
          <w:trHeight w:val="561"/>
        </w:trPr>
        <w:tc>
          <w:tcPr>
            <w:tcW w:w="2000" w:type="dxa"/>
          </w:tcPr>
          <w:p w14:paraId="5FE73B92" w14:textId="77777777" w:rsidR="00CE0F54" w:rsidRPr="00856A7D" w:rsidRDefault="00CE0F54" w:rsidP="00593F2A">
            <w:pPr>
              <w:pStyle w:val="TableParagraph"/>
              <w:spacing w:before="12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90"/>
              </w:rPr>
              <w:t>12.30</w:t>
            </w:r>
          </w:p>
        </w:tc>
        <w:tc>
          <w:tcPr>
            <w:tcW w:w="8241" w:type="dxa"/>
            <w:tcBorders>
              <w:bottom w:val="single" w:sz="18" w:space="0" w:color="00A6D3"/>
            </w:tcBorders>
            <w:shd w:val="clear" w:color="auto" w:fill="82C8FF"/>
          </w:tcPr>
          <w:p w14:paraId="44E548E6" w14:textId="77777777" w:rsidR="00CE0F54" w:rsidRPr="00856A7D" w:rsidRDefault="00CE0F54" w:rsidP="00593F2A">
            <w:pPr>
              <w:pStyle w:val="TableParagraph"/>
              <w:spacing w:before="12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spacing w:val="2"/>
                <w:w w:val="85"/>
              </w:rPr>
              <w:t>Registration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65"/>
              </w:rPr>
              <w:t xml:space="preserve"> 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2"/>
                <w:w w:val="85"/>
              </w:rPr>
              <w:t>and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65"/>
              </w:rPr>
              <w:t xml:space="preserve"> 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-2"/>
                <w:w w:val="85"/>
              </w:rPr>
              <w:t>Sandwich Lunch</w:t>
            </w:r>
          </w:p>
        </w:tc>
      </w:tr>
      <w:tr w:rsidR="00CE0F54" w:rsidRPr="00856A7D" w14:paraId="10015128" w14:textId="77777777" w:rsidTr="00593F2A">
        <w:trPr>
          <w:trHeight w:val="562"/>
        </w:trPr>
        <w:tc>
          <w:tcPr>
            <w:tcW w:w="2000" w:type="dxa"/>
          </w:tcPr>
          <w:p w14:paraId="176BCA45" w14:textId="77777777" w:rsidR="00CE0F54" w:rsidRPr="00856A7D" w:rsidRDefault="00CE0F54" w:rsidP="00593F2A">
            <w:pPr>
              <w:pStyle w:val="TableParagraph"/>
              <w:spacing w:before="124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90"/>
              </w:rPr>
              <w:t>13.00 – 13.15</w:t>
            </w:r>
          </w:p>
        </w:tc>
        <w:tc>
          <w:tcPr>
            <w:tcW w:w="8241" w:type="dxa"/>
            <w:tcBorders>
              <w:top w:val="single" w:sz="18" w:space="0" w:color="00A6D3"/>
              <w:bottom w:val="single" w:sz="18" w:space="0" w:color="00A6D3"/>
            </w:tcBorders>
            <w:shd w:val="clear" w:color="auto" w:fill="82C8FF"/>
          </w:tcPr>
          <w:p w14:paraId="1D3B88F1" w14:textId="77777777" w:rsidR="00CE0F54" w:rsidRPr="00856A7D" w:rsidRDefault="00CE0F54" w:rsidP="00593F2A">
            <w:pPr>
              <w:pStyle w:val="TableParagraph"/>
              <w:spacing w:before="124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90"/>
              </w:rPr>
              <w:t>Welcome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36"/>
              </w:rPr>
              <w:t xml:space="preserve"> </w:t>
            </w:r>
            <w:r w:rsidRPr="00856A7D">
              <w:rPr>
                <w:rFonts w:asciiTheme="minorHAnsi" w:hAnsiTheme="minorHAnsi" w:cstheme="minorHAnsi"/>
                <w:b/>
                <w:color w:val="09224A"/>
                <w:w w:val="90"/>
              </w:rPr>
              <w:t>and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34"/>
              </w:rPr>
              <w:t xml:space="preserve"> 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-2"/>
                <w:w w:val="90"/>
              </w:rPr>
              <w:t>Introduction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 xml:space="preserve"> Robert </w:t>
            </w:r>
            <w:proofErr w:type="spellStart"/>
            <w:r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>McTernaghan</w:t>
            </w:r>
            <w:proofErr w:type="spellEnd"/>
            <w:r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 xml:space="preserve"> BL              </w:t>
            </w:r>
          </w:p>
        </w:tc>
      </w:tr>
    </w:tbl>
    <w:p w14:paraId="1D932993" w14:textId="77777777" w:rsidR="00CE0F54" w:rsidRPr="00856A7D" w:rsidRDefault="00CE0F54" w:rsidP="00CE0F54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8241"/>
      </w:tblGrid>
      <w:tr w:rsidR="00CE0F54" w:rsidRPr="00856A7D" w14:paraId="51F4933A" w14:textId="77777777" w:rsidTr="00593F2A">
        <w:trPr>
          <w:trHeight w:val="554"/>
        </w:trPr>
        <w:tc>
          <w:tcPr>
            <w:tcW w:w="2000" w:type="dxa"/>
          </w:tcPr>
          <w:p w14:paraId="31AEAF2A" w14:textId="77777777" w:rsidR="00CE0F54" w:rsidRPr="00856A7D" w:rsidRDefault="00CE0F54" w:rsidP="00593F2A">
            <w:pPr>
              <w:pStyle w:val="TableParagraph"/>
              <w:spacing w:line="276" w:lineRule="auto"/>
              <w:ind w:left="1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1" w:type="dxa"/>
            <w:shd w:val="clear" w:color="auto" w:fill="82C8FF"/>
          </w:tcPr>
          <w:p w14:paraId="1582B208" w14:textId="77777777" w:rsidR="00CE0F54" w:rsidRPr="00856A7D" w:rsidRDefault="00CE0F54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 Chair: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 xml:space="preserve"> Christopher McCrudden</w:t>
            </w:r>
          </w:p>
        </w:tc>
      </w:tr>
    </w:tbl>
    <w:p w14:paraId="2EC10C5C" w14:textId="77777777" w:rsidR="00CE0F54" w:rsidRPr="00856A7D" w:rsidRDefault="00CE0F54" w:rsidP="00CE0F54">
      <w:pPr>
        <w:spacing w:before="3" w:line="276" w:lineRule="auto"/>
        <w:rPr>
          <w:rFonts w:asciiTheme="minorHAnsi" w:hAnsiTheme="minorHAnsi" w:cstheme="minorHAnsi"/>
        </w:rPr>
      </w:pPr>
    </w:p>
    <w:p w14:paraId="3F03FBAA" w14:textId="77777777" w:rsidR="00CE0F54" w:rsidRPr="00856A7D" w:rsidRDefault="00CE0F54" w:rsidP="00CE0F54">
      <w:pPr>
        <w:spacing w:before="3" w:line="276" w:lineRule="auto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856A7D">
        <w:rPr>
          <w:rFonts w:asciiTheme="minorHAnsi" w:hAnsiTheme="minorHAnsi" w:cstheme="minorHAnsi"/>
          <w:b/>
          <w:bCs/>
        </w:rPr>
        <w:t>Programme</w:t>
      </w:r>
      <w:proofErr w:type="spellEnd"/>
    </w:p>
    <w:p w14:paraId="16DA8539" w14:textId="77777777" w:rsidR="00CE0F54" w:rsidRPr="00856A7D" w:rsidRDefault="00CE0F54" w:rsidP="00CE0F54">
      <w:pPr>
        <w:spacing w:before="3" w:line="276" w:lineRule="auto"/>
        <w:jc w:val="center"/>
        <w:rPr>
          <w:rFonts w:asciiTheme="minorHAnsi" w:hAnsiTheme="minorHAnsi" w:cstheme="minorHAnsi"/>
        </w:rPr>
      </w:pPr>
    </w:p>
    <w:tbl>
      <w:tblPr>
        <w:tblW w:w="10241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8241"/>
      </w:tblGrid>
      <w:tr w:rsidR="00CE0F54" w:rsidRPr="00856A7D" w14:paraId="420347AF" w14:textId="77777777" w:rsidTr="00593F2A">
        <w:trPr>
          <w:trHeight w:val="554"/>
        </w:trPr>
        <w:tc>
          <w:tcPr>
            <w:tcW w:w="2000" w:type="dxa"/>
          </w:tcPr>
          <w:p w14:paraId="583594BA" w14:textId="77777777" w:rsidR="00CE0F54" w:rsidRPr="00856A7D" w:rsidRDefault="00CE0F54" w:rsidP="00593F2A">
            <w:pPr>
              <w:pStyle w:val="TableParagraph"/>
              <w:spacing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13.15 to 14.15</w:t>
            </w:r>
          </w:p>
        </w:tc>
        <w:tc>
          <w:tcPr>
            <w:tcW w:w="8241" w:type="dxa"/>
            <w:shd w:val="clear" w:color="auto" w:fill="82C8FF"/>
          </w:tcPr>
          <w:p w14:paraId="1A97862E" w14:textId="77777777" w:rsidR="00CE0F54" w:rsidRPr="00856A7D" w:rsidRDefault="00CE0F54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 Session 1: Using Article 2 in domestic litigation: the basics after </w:t>
            </w:r>
            <w:r w:rsidRPr="00856A7D">
              <w:rPr>
                <w:rFonts w:asciiTheme="minorHAnsi" w:hAnsiTheme="minorHAnsi" w:cstheme="minorHAnsi"/>
                <w:b/>
                <w:i/>
                <w:iCs/>
                <w:color w:val="09224A"/>
                <w:w w:val="85"/>
              </w:rPr>
              <w:t>Dillon</w:t>
            </w:r>
          </w:p>
        </w:tc>
      </w:tr>
      <w:tr w:rsidR="00CE0F54" w:rsidRPr="00856A7D" w14:paraId="080B72AD" w14:textId="77777777" w:rsidTr="00593F2A">
        <w:trPr>
          <w:trHeight w:val="543"/>
        </w:trPr>
        <w:tc>
          <w:tcPr>
            <w:tcW w:w="2000" w:type="dxa"/>
          </w:tcPr>
          <w:p w14:paraId="2CE0A642" w14:textId="089242CE" w:rsidR="00CE0F54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13.15 – 13.35</w:t>
            </w:r>
          </w:p>
          <w:p w14:paraId="7ABF818C" w14:textId="77777777" w:rsidR="007B06D0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13.35 – 13.55</w:t>
            </w:r>
          </w:p>
          <w:p w14:paraId="12E1EE87" w14:textId="503CF317" w:rsidR="007B06D0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13.55- 14.15</w:t>
            </w:r>
          </w:p>
        </w:tc>
        <w:tc>
          <w:tcPr>
            <w:tcW w:w="8241" w:type="dxa"/>
          </w:tcPr>
          <w:p w14:paraId="0A995E99" w14:textId="1CC918D4" w:rsidR="00CE0F54" w:rsidRPr="00856A7D" w:rsidRDefault="00335CC9" w:rsidP="00593F2A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Dr. Lisa Whitten (QUB)</w:t>
            </w:r>
          </w:p>
          <w:p w14:paraId="0DA49896" w14:textId="49A1625C" w:rsidR="00335CC9" w:rsidRPr="00856A7D" w:rsidRDefault="00335CC9" w:rsidP="00593F2A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Anurag Deb (QUB)</w:t>
            </w:r>
          </w:p>
          <w:p w14:paraId="73BCF5EE" w14:textId="75C12924" w:rsidR="00EB25B9" w:rsidRPr="00856A7D" w:rsidRDefault="007B06D0" w:rsidP="00593F2A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Q &amp; As</w:t>
            </w:r>
          </w:p>
          <w:p w14:paraId="1DE08D40" w14:textId="77777777" w:rsidR="007B06D0" w:rsidRPr="00856A7D" w:rsidRDefault="007B06D0" w:rsidP="00593F2A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</w:p>
          <w:p w14:paraId="38CEBF44" w14:textId="5AEDE6D2" w:rsidR="00CE0F54" w:rsidRPr="00856A7D" w:rsidRDefault="00CE0F54" w:rsidP="00593F2A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Issues to be considered:</w:t>
            </w:r>
          </w:p>
          <w:p w14:paraId="6E8C7512" w14:textId="77777777" w:rsidR="00CE0F54" w:rsidRPr="00856A7D" w:rsidRDefault="00CE0F54" w:rsidP="00593F2A">
            <w:pPr>
              <w:pStyle w:val="TableParagraph"/>
              <w:numPr>
                <w:ilvl w:val="0"/>
                <w:numId w:val="1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>status and effect of section 7A of the European Union (Withdrawal) Act 2018</w:t>
            </w:r>
          </w:p>
          <w:p w14:paraId="1D742236" w14:textId="77777777" w:rsidR="00CE0F54" w:rsidRPr="00856A7D" w:rsidRDefault="00CE0F54" w:rsidP="00593F2A">
            <w:pPr>
              <w:pStyle w:val="TableParagraph"/>
              <w:numPr>
                <w:ilvl w:val="0"/>
                <w:numId w:val="1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>overall justiciability of Article 2 Windsor Framework</w:t>
            </w:r>
          </w:p>
          <w:p w14:paraId="0B513009" w14:textId="77777777" w:rsidR="00CE0F54" w:rsidRPr="00856A7D" w:rsidRDefault="00CE0F54" w:rsidP="00593F2A">
            <w:pPr>
              <w:pStyle w:val="TableParagraph"/>
              <w:numPr>
                <w:ilvl w:val="0"/>
                <w:numId w:val="1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>effect of Article 4(1) of the Withdrawal Agreement on the approach to be taken to the scope and application of Article 2 WF</w:t>
            </w:r>
          </w:p>
          <w:p w14:paraId="29FDC8C2" w14:textId="3F4A18E4" w:rsidR="00CE0F54" w:rsidRPr="00856A7D" w:rsidRDefault="00CE0F54" w:rsidP="007B06D0">
            <w:pPr>
              <w:pStyle w:val="TableParagraph"/>
              <w:numPr>
                <w:ilvl w:val="0"/>
                <w:numId w:val="1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>the ‘direct effect’ of Article 2 WF</w:t>
            </w:r>
          </w:p>
        </w:tc>
      </w:tr>
    </w:tbl>
    <w:p w14:paraId="75DF2363" w14:textId="77777777" w:rsidR="00AB27E3" w:rsidRPr="00856A7D" w:rsidRDefault="00AB27E3">
      <w:pPr>
        <w:rPr>
          <w:rFonts w:asciiTheme="minorHAnsi" w:hAnsiTheme="minorHAnsi" w:cstheme="minorHAnsi"/>
        </w:rPr>
      </w:pPr>
      <w:r w:rsidRPr="00856A7D">
        <w:rPr>
          <w:rFonts w:asciiTheme="minorHAnsi" w:hAnsiTheme="minorHAnsi" w:cstheme="minorHAnsi"/>
        </w:rPr>
        <w:br w:type="page"/>
      </w:r>
    </w:p>
    <w:tbl>
      <w:tblPr>
        <w:tblW w:w="10241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8241"/>
      </w:tblGrid>
      <w:tr w:rsidR="00CE0F54" w:rsidRPr="00856A7D" w14:paraId="6EA33035" w14:textId="77777777" w:rsidTr="00593F2A">
        <w:trPr>
          <w:trHeight w:val="554"/>
        </w:trPr>
        <w:tc>
          <w:tcPr>
            <w:tcW w:w="2000" w:type="dxa"/>
          </w:tcPr>
          <w:p w14:paraId="366BCA9F" w14:textId="77777777" w:rsidR="00CE0F54" w:rsidRPr="00856A7D" w:rsidRDefault="00CE0F54" w:rsidP="00593F2A">
            <w:pPr>
              <w:pStyle w:val="TableParagraph"/>
              <w:spacing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lastRenderedPageBreak/>
              <w:t>14.15 to 15.15</w:t>
            </w:r>
          </w:p>
        </w:tc>
        <w:tc>
          <w:tcPr>
            <w:tcW w:w="8241" w:type="dxa"/>
            <w:shd w:val="clear" w:color="auto" w:fill="82C8FF"/>
          </w:tcPr>
          <w:p w14:paraId="60491478" w14:textId="5D5DC331" w:rsidR="00CE0F54" w:rsidRPr="00856A7D" w:rsidRDefault="00CE0F54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 </w:t>
            </w:r>
            <w:r w:rsidR="00AB27E3"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Session 2: Remedies after </w:t>
            </w:r>
            <w:r w:rsidR="00AB27E3" w:rsidRPr="00856A7D">
              <w:rPr>
                <w:rFonts w:asciiTheme="minorHAnsi" w:hAnsiTheme="minorHAnsi" w:cstheme="minorHAnsi"/>
                <w:b/>
                <w:i/>
                <w:iCs/>
                <w:color w:val="09224A"/>
                <w:w w:val="85"/>
              </w:rPr>
              <w:t>Dillon</w:t>
            </w:r>
          </w:p>
        </w:tc>
      </w:tr>
      <w:tr w:rsidR="00CE0F54" w:rsidRPr="00856A7D" w14:paraId="7E9217A0" w14:textId="77777777" w:rsidTr="00593F2A">
        <w:trPr>
          <w:trHeight w:val="543"/>
        </w:trPr>
        <w:tc>
          <w:tcPr>
            <w:tcW w:w="2000" w:type="dxa"/>
          </w:tcPr>
          <w:p w14:paraId="19B39915" w14:textId="6257B32A" w:rsidR="00CE0F54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14.15 - 14.35</w:t>
            </w:r>
          </w:p>
          <w:p w14:paraId="2FF0DEE2" w14:textId="2217BE8F" w:rsidR="007B06D0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14.35 - 14.55</w:t>
            </w:r>
          </w:p>
          <w:p w14:paraId="26DB6787" w14:textId="77777777" w:rsidR="007B06D0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14.55 – 15.15</w:t>
            </w:r>
          </w:p>
          <w:p w14:paraId="057D61AF" w14:textId="101B2693" w:rsidR="007B06D0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41" w:type="dxa"/>
          </w:tcPr>
          <w:p w14:paraId="639FD947" w14:textId="77777777" w:rsidR="00AB27E3" w:rsidRPr="00856A7D" w:rsidRDefault="00AB27E3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Professor Colin Murray (Newcastle)</w:t>
            </w:r>
          </w:p>
          <w:p w14:paraId="065F6B10" w14:textId="77777777" w:rsidR="00AB27E3" w:rsidRPr="00856A7D" w:rsidRDefault="00AB27E3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 xml:space="preserve">Professor Eleni </w:t>
            </w:r>
            <w:proofErr w:type="spellStart"/>
            <w:r w:rsidRPr="00856A7D">
              <w:rPr>
                <w:rFonts w:asciiTheme="minorHAnsi" w:hAnsiTheme="minorHAnsi" w:cstheme="minorHAnsi"/>
                <w:b/>
              </w:rPr>
              <w:t>Frantziou</w:t>
            </w:r>
            <w:proofErr w:type="spellEnd"/>
            <w:r w:rsidRPr="00856A7D">
              <w:rPr>
                <w:rFonts w:asciiTheme="minorHAnsi" w:hAnsiTheme="minorHAnsi" w:cstheme="minorHAnsi"/>
                <w:b/>
              </w:rPr>
              <w:t xml:space="preserve"> (Durham)</w:t>
            </w:r>
          </w:p>
          <w:p w14:paraId="159AF85E" w14:textId="16BB2A7B" w:rsidR="00AB27E3" w:rsidRPr="00856A7D" w:rsidRDefault="007B06D0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Q &amp; As</w:t>
            </w:r>
          </w:p>
          <w:p w14:paraId="74D3E2FD" w14:textId="77777777" w:rsidR="007B06D0" w:rsidRPr="00856A7D" w:rsidRDefault="007B06D0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</w:p>
          <w:p w14:paraId="0065C638" w14:textId="25597B17" w:rsidR="00AB27E3" w:rsidRPr="00856A7D" w:rsidRDefault="00AB27E3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Issues to be considered:</w:t>
            </w:r>
          </w:p>
          <w:p w14:paraId="5B7214CE" w14:textId="77777777" w:rsidR="00AB27E3" w:rsidRPr="00856A7D" w:rsidRDefault="00AB27E3" w:rsidP="00AB27E3">
            <w:pPr>
              <w:pStyle w:val="TableParagraph"/>
              <w:numPr>
                <w:ilvl w:val="0"/>
                <w:numId w:val="3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approach that will be adopted to the issue of remedies </w:t>
            </w:r>
            <w:proofErr w:type="gramStart"/>
            <w:r w:rsidRPr="00856A7D">
              <w:rPr>
                <w:rFonts w:asciiTheme="minorHAnsi" w:hAnsiTheme="minorHAnsi" w:cstheme="minorHAnsi"/>
                <w:color w:val="000000" w:themeColor="text1"/>
              </w:rPr>
              <w:t>in the event that</w:t>
            </w:r>
            <w:proofErr w:type="gramEnd"/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 a breach of Article 2 WF is established</w:t>
            </w:r>
          </w:p>
          <w:p w14:paraId="42950119" w14:textId="77777777" w:rsidR="00AB27E3" w:rsidRPr="00856A7D" w:rsidRDefault="00AB27E3" w:rsidP="00AB27E3">
            <w:pPr>
              <w:pStyle w:val="TableParagraph"/>
              <w:numPr>
                <w:ilvl w:val="0"/>
                <w:numId w:val="3"/>
              </w:numPr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856A7D">
              <w:rPr>
                <w:rFonts w:asciiTheme="minorHAnsi" w:hAnsiTheme="minorHAnsi" w:cstheme="minorHAnsi"/>
                <w:color w:val="000000" w:themeColor="text1"/>
              </w:rPr>
              <w:t>in particular whether</w:t>
            </w:r>
            <w:proofErr w:type="gramEnd"/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 the remedy of ‘</w:t>
            </w:r>
            <w:r w:rsidRPr="00856A7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disapplication’</w:t>
            </w:r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 is mandatory where a breach of Article 2 WF has been established</w:t>
            </w:r>
          </w:p>
          <w:p w14:paraId="0BCACFC9" w14:textId="5A0CD248" w:rsidR="00CE0F54" w:rsidRPr="00856A7D" w:rsidRDefault="00AB27E3" w:rsidP="008A1EF4">
            <w:pPr>
              <w:pStyle w:val="TableParagraph"/>
              <w:numPr>
                <w:ilvl w:val="0"/>
                <w:numId w:val="3"/>
              </w:numPr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>relationship between ECHR remedies and remedies under Article 2 WF</w:t>
            </w:r>
          </w:p>
        </w:tc>
      </w:tr>
      <w:tr w:rsidR="00CE0F54" w:rsidRPr="00856A7D" w14:paraId="10B08159" w14:textId="77777777" w:rsidTr="00593F2A">
        <w:trPr>
          <w:trHeight w:val="554"/>
        </w:trPr>
        <w:tc>
          <w:tcPr>
            <w:tcW w:w="2000" w:type="dxa"/>
          </w:tcPr>
          <w:p w14:paraId="15136291" w14:textId="77777777" w:rsidR="00CE0F54" w:rsidRPr="00856A7D" w:rsidRDefault="00CE0F54" w:rsidP="00593F2A">
            <w:pPr>
              <w:pStyle w:val="TableParagraph"/>
              <w:spacing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15.15 to 15.45</w:t>
            </w:r>
          </w:p>
        </w:tc>
        <w:tc>
          <w:tcPr>
            <w:tcW w:w="8241" w:type="dxa"/>
            <w:shd w:val="clear" w:color="auto" w:fill="82C8FF"/>
          </w:tcPr>
          <w:p w14:paraId="23B92440" w14:textId="77777777" w:rsidR="00CE0F54" w:rsidRPr="00856A7D" w:rsidRDefault="00CE0F54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</w:rPr>
              <w:t xml:space="preserve"> Tea/coffee break</w:t>
            </w:r>
          </w:p>
        </w:tc>
      </w:tr>
      <w:tr w:rsidR="00CE0F54" w:rsidRPr="00856A7D" w14:paraId="6C4D7543" w14:textId="77777777" w:rsidTr="00593F2A">
        <w:trPr>
          <w:trHeight w:val="554"/>
        </w:trPr>
        <w:tc>
          <w:tcPr>
            <w:tcW w:w="2000" w:type="dxa"/>
          </w:tcPr>
          <w:p w14:paraId="5ADEC17C" w14:textId="60B82066" w:rsidR="00CE0F54" w:rsidRPr="00856A7D" w:rsidRDefault="00CE0F54" w:rsidP="00593F2A">
            <w:pPr>
              <w:pStyle w:val="TableParagraph"/>
              <w:spacing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15.45 to 16.45</w:t>
            </w:r>
          </w:p>
        </w:tc>
        <w:tc>
          <w:tcPr>
            <w:tcW w:w="8241" w:type="dxa"/>
            <w:shd w:val="clear" w:color="auto" w:fill="82C8FF"/>
          </w:tcPr>
          <w:p w14:paraId="2EB18BD0" w14:textId="2A997D04" w:rsidR="00CE0F54" w:rsidRPr="00856A7D" w:rsidRDefault="00CE0F54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 </w:t>
            </w:r>
            <w:r w:rsidR="00AB27E3"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Session 3: Scope of rights protected by Article 2 after </w:t>
            </w:r>
            <w:r w:rsidR="00AB27E3" w:rsidRPr="00856A7D">
              <w:rPr>
                <w:rFonts w:asciiTheme="minorHAnsi" w:hAnsiTheme="minorHAnsi" w:cstheme="minorHAnsi"/>
                <w:b/>
                <w:i/>
                <w:iCs/>
                <w:color w:val="09224A"/>
                <w:w w:val="85"/>
              </w:rPr>
              <w:t>Dillon</w:t>
            </w:r>
          </w:p>
        </w:tc>
      </w:tr>
      <w:tr w:rsidR="00CE0F54" w:rsidRPr="00856A7D" w14:paraId="5FE5190A" w14:textId="77777777" w:rsidTr="00593F2A">
        <w:trPr>
          <w:trHeight w:val="543"/>
        </w:trPr>
        <w:tc>
          <w:tcPr>
            <w:tcW w:w="2000" w:type="dxa"/>
          </w:tcPr>
          <w:p w14:paraId="0A699677" w14:textId="77777777" w:rsidR="00CE0F54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15.45 – 16.05</w:t>
            </w:r>
          </w:p>
          <w:p w14:paraId="2B7BC38F" w14:textId="77777777" w:rsidR="007B06D0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16.05 – 16.25</w:t>
            </w:r>
          </w:p>
          <w:p w14:paraId="72988F36" w14:textId="60A29836" w:rsidR="007B06D0" w:rsidRPr="00856A7D" w:rsidRDefault="007B06D0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16.25 – 16.45</w:t>
            </w:r>
          </w:p>
        </w:tc>
        <w:tc>
          <w:tcPr>
            <w:tcW w:w="8241" w:type="dxa"/>
          </w:tcPr>
          <w:p w14:paraId="1AD647D7" w14:textId="6CE68C43" w:rsidR="00AB27E3" w:rsidRPr="00856A7D" w:rsidRDefault="00AB27E3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Professor Tobias Lock (Maynooth)</w:t>
            </w:r>
          </w:p>
          <w:p w14:paraId="298ED5FA" w14:textId="77777777" w:rsidR="00AB27E3" w:rsidRPr="00856A7D" w:rsidRDefault="00AB27E3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Professor Emeritus Brice Dickson (QUB)</w:t>
            </w:r>
          </w:p>
          <w:p w14:paraId="2D489E69" w14:textId="6B2C58C1" w:rsidR="00AB27E3" w:rsidRPr="00856A7D" w:rsidRDefault="007B06D0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Q &amp; As</w:t>
            </w:r>
          </w:p>
          <w:p w14:paraId="3B110106" w14:textId="77777777" w:rsidR="007B06D0" w:rsidRPr="00856A7D" w:rsidRDefault="007B06D0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</w:p>
          <w:p w14:paraId="55F6E46E" w14:textId="1F55D675" w:rsidR="00AB27E3" w:rsidRPr="00856A7D" w:rsidRDefault="00AB27E3" w:rsidP="00AB27E3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Issues to be considered:</w:t>
            </w:r>
          </w:p>
          <w:p w14:paraId="7BA62154" w14:textId="77777777" w:rsidR="00AB27E3" w:rsidRPr="00856A7D" w:rsidRDefault="00AB27E3" w:rsidP="00AB27E3">
            <w:pPr>
              <w:pStyle w:val="TableParagraph"/>
              <w:numPr>
                <w:ilvl w:val="0"/>
                <w:numId w:val="2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>Vienna Convention on the Law of Treaties and the interpretation of the B-GFA</w:t>
            </w:r>
          </w:p>
          <w:p w14:paraId="2F599DC2" w14:textId="77777777" w:rsidR="00AB27E3" w:rsidRPr="00856A7D" w:rsidRDefault="00AB27E3" w:rsidP="00AB27E3">
            <w:pPr>
              <w:pStyle w:val="TableParagraph"/>
              <w:numPr>
                <w:ilvl w:val="0"/>
                <w:numId w:val="2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interpretation of the relevant part of the Belfast-Good Friday Agreement (‘B-GFA’), and </w:t>
            </w:r>
            <w:proofErr w:type="gramStart"/>
            <w:r w:rsidRPr="00856A7D">
              <w:rPr>
                <w:rFonts w:asciiTheme="minorHAnsi" w:hAnsiTheme="minorHAnsi" w:cstheme="minorHAnsi"/>
                <w:color w:val="000000" w:themeColor="text1"/>
              </w:rPr>
              <w:t>in particular the</w:t>
            </w:r>
            <w:proofErr w:type="gramEnd"/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 scope of ‘</w:t>
            </w:r>
            <w:r w:rsidRPr="00856A7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civil rights’</w:t>
            </w:r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 in that context</w:t>
            </w:r>
          </w:p>
          <w:p w14:paraId="1C05FA43" w14:textId="77777777" w:rsidR="00AB27E3" w:rsidRPr="00856A7D" w:rsidRDefault="00AB27E3" w:rsidP="00AB27E3">
            <w:pPr>
              <w:pStyle w:val="TableParagraph"/>
              <w:numPr>
                <w:ilvl w:val="0"/>
                <w:numId w:val="2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relationship between the ECHR, the Charter of Fundamental Rights and breaches of Article 2 WF, and </w:t>
            </w:r>
            <w:proofErr w:type="gramStart"/>
            <w:r w:rsidRPr="00856A7D">
              <w:rPr>
                <w:rFonts w:asciiTheme="minorHAnsi" w:hAnsiTheme="minorHAnsi" w:cstheme="minorHAnsi"/>
                <w:color w:val="000000" w:themeColor="text1"/>
              </w:rPr>
              <w:t>in particular the</w:t>
            </w:r>
            <w:proofErr w:type="gramEnd"/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 issue of ‘</w:t>
            </w:r>
            <w:r w:rsidRPr="00856A7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diminution’</w:t>
            </w:r>
            <w:r w:rsidRPr="00856A7D">
              <w:rPr>
                <w:rFonts w:asciiTheme="minorHAnsi" w:hAnsiTheme="minorHAnsi" w:cstheme="minorHAnsi"/>
                <w:color w:val="000000" w:themeColor="text1"/>
              </w:rPr>
              <w:t xml:space="preserve"> in that context</w:t>
            </w:r>
          </w:p>
          <w:p w14:paraId="349F574E" w14:textId="4B54F1B2" w:rsidR="00CE0F54" w:rsidRPr="00856A7D" w:rsidRDefault="00AB27E3" w:rsidP="008A1EF4">
            <w:pPr>
              <w:pStyle w:val="TableParagraph"/>
              <w:numPr>
                <w:ilvl w:val="0"/>
                <w:numId w:val="2"/>
              </w:numPr>
              <w:spacing w:before="103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56A7D">
              <w:rPr>
                <w:rFonts w:asciiTheme="minorHAnsi" w:hAnsiTheme="minorHAnsi" w:cstheme="minorHAnsi"/>
                <w:color w:val="000000" w:themeColor="text1"/>
              </w:rPr>
              <w:t>scope of the CFR</w:t>
            </w:r>
          </w:p>
        </w:tc>
      </w:tr>
      <w:tr w:rsidR="00CE0F54" w:rsidRPr="00856A7D" w14:paraId="152846E6" w14:textId="77777777" w:rsidTr="00593F2A">
        <w:trPr>
          <w:trHeight w:val="554"/>
        </w:trPr>
        <w:tc>
          <w:tcPr>
            <w:tcW w:w="2000" w:type="dxa"/>
          </w:tcPr>
          <w:p w14:paraId="512C7BAD" w14:textId="77777777" w:rsidR="00CE0F54" w:rsidRPr="00856A7D" w:rsidRDefault="00CE0F54" w:rsidP="00593F2A">
            <w:pPr>
              <w:pStyle w:val="TableParagraph"/>
              <w:spacing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16.45 to 17.15</w:t>
            </w:r>
          </w:p>
        </w:tc>
        <w:tc>
          <w:tcPr>
            <w:tcW w:w="8241" w:type="dxa"/>
            <w:shd w:val="clear" w:color="auto" w:fill="82C8FF"/>
          </w:tcPr>
          <w:p w14:paraId="32918F03" w14:textId="0F052B27" w:rsidR="00CE0F54" w:rsidRPr="00856A7D" w:rsidRDefault="00CE0F54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 Questions and moderated discussion</w:t>
            </w:r>
            <w:r w:rsidR="00335CC9"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 xml:space="preserve">              </w:t>
            </w:r>
          </w:p>
        </w:tc>
      </w:tr>
      <w:tr w:rsidR="00CE0F54" w:rsidRPr="00856A7D" w14:paraId="3DCB8E1B" w14:textId="77777777" w:rsidTr="00593F2A">
        <w:trPr>
          <w:trHeight w:val="554"/>
        </w:trPr>
        <w:tc>
          <w:tcPr>
            <w:tcW w:w="2000" w:type="dxa"/>
          </w:tcPr>
          <w:p w14:paraId="4534B31B" w14:textId="77777777" w:rsidR="00CE0F54" w:rsidRPr="00856A7D" w:rsidRDefault="00CE0F54" w:rsidP="00593F2A">
            <w:pPr>
              <w:pStyle w:val="TableParagraph"/>
              <w:spacing w:line="276" w:lineRule="auto"/>
              <w:ind w:left="122"/>
              <w:rPr>
                <w:rFonts w:asciiTheme="minorHAnsi" w:hAnsiTheme="minorHAnsi" w:cstheme="minorHAnsi"/>
                <w:b/>
              </w:rPr>
            </w:pPr>
            <w:r w:rsidRPr="00856A7D">
              <w:rPr>
                <w:rFonts w:asciiTheme="minorHAnsi" w:hAnsiTheme="minorHAnsi" w:cstheme="minorHAnsi"/>
                <w:b/>
              </w:rPr>
              <w:t>17.15 to 17.30</w:t>
            </w:r>
          </w:p>
        </w:tc>
        <w:tc>
          <w:tcPr>
            <w:tcW w:w="8241" w:type="dxa"/>
            <w:shd w:val="clear" w:color="auto" w:fill="82C8FF"/>
          </w:tcPr>
          <w:p w14:paraId="643A77A0" w14:textId="77777777" w:rsidR="00CE0F54" w:rsidRPr="00856A7D" w:rsidRDefault="00CE0F54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 Closing comment</w:t>
            </w:r>
            <w:r w:rsidR="007B06D0"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>s</w:t>
            </w:r>
            <w:r w:rsidR="00335CC9"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 (Advocate General Anthony Collins)</w:t>
            </w:r>
          </w:p>
          <w:p w14:paraId="11C7EC93" w14:textId="320C2AD7" w:rsidR="00856A7D" w:rsidRPr="00856A7D" w:rsidRDefault="00856A7D" w:rsidP="00593F2A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 xml:space="preserve">(Chair: </w:t>
            </w:r>
            <w:r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 xml:space="preserve">Robert </w:t>
            </w:r>
            <w:proofErr w:type="spellStart"/>
            <w:r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>McTernaghan</w:t>
            </w:r>
            <w:proofErr w:type="spellEnd"/>
            <w:r w:rsidRPr="00856A7D">
              <w:rPr>
                <w:rFonts w:asciiTheme="minorHAnsi" w:hAnsiTheme="minorHAnsi" w:cstheme="minorHAnsi"/>
                <w:b/>
                <w:color w:val="09224A"/>
                <w:spacing w:val="32"/>
              </w:rPr>
              <w:t xml:space="preserve"> BL)</w:t>
            </w:r>
          </w:p>
        </w:tc>
      </w:tr>
    </w:tbl>
    <w:p w14:paraId="45177F52" w14:textId="77777777" w:rsidR="00CE0F54" w:rsidRPr="00856A7D" w:rsidRDefault="00CE0F54" w:rsidP="00CE0F54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8241"/>
      </w:tblGrid>
      <w:tr w:rsidR="00CE0F54" w:rsidRPr="00856A7D" w14:paraId="5BA9AFC7" w14:textId="77777777" w:rsidTr="00593F2A">
        <w:trPr>
          <w:trHeight w:val="543"/>
        </w:trPr>
        <w:tc>
          <w:tcPr>
            <w:tcW w:w="2000" w:type="dxa"/>
            <w:tcBorders>
              <w:bottom w:val="single" w:sz="18" w:space="0" w:color="00A6D3"/>
            </w:tcBorders>
          </w:tcPr>
          <w:p w14:paraId="317C3AA4" w14:textId="77777777" w:rsidR="00CE0F54" w:rsidRPr="00856A7D" w:rsidRDefault="00CE0F54" w:rsidP="00593F2A">
            <w:pPr>
              <w:pStyle w:val="TableParagraph"/>
              <w:spacing w:before="103" w:line="276" w:lineRule="auto"/>
              <w:ind w:left="122"/>
              <w:rPr>
                <w:rFonts w:asciiTheme="minorHAnsi" w:hAnsiTheme="minorHAnsi" w:cstheme="minorHAnsi"/>
                <w:b/>
                <w:color w:val="09224A"/>
                <w:w w:val="90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90"/>
              </w:rPr>
              <w:t xml:space="preserve">17.30 </w:t>
            </w:r>
          </w:p>
        </w:tc>
        <w:tc>
          <w:tcPr>
            <w:tcW w:w="8241" w:type="dxa"/>
            <w:tcBorders>
              <w:bottom w:val="single" w:sz="18" w:space="0" w:color="00A6D3"/>
            </w:tcBorders>
          </w:tcPr>
          <w:p w14:paraId="05E274DB" w14:textId="77777777" w:rsidR="00CE0F54" w:rsidRPr="00856A7D" w:rsidRDefault="00CE0F54" w:rsidP="00593F2A">
            <w:pPr>
              <w:pStyle w:val="TableParagraph"/>
              <w:spacing w:before="103" w:line="276" w:lineRule="auto"/>
              <w:rPr>
                <w:rFonts w:asciiTheme="minorHAnsi" w:hAnsiTheme="minorHAnsi" w:cstheme="minorHAnsi"/>
                <w:b/>
                <w:color w:val="09224A"/>
                <w:w w:val="85"/>
              </w:rPr>
            </w:pPr>
            <w:r w:rsidRPr="00856A7D">
              <w:rPr>
                <w:rFonts w:asciiTheme="minorHAnsi" w:hAnsiTheme="minorHAnsi" w:cstheme="minorHAnsi"/>
                <w:b/>
                <w:color w:val="09224A"/>
                <w:w w:val="85"/>
              </w:rPr>
              <w:t>Drinks reception</w:t>
            </w:r>
          </w:p>
        </w:tc>
      </w:tr>
    </w:tbl>
    <w:p w14:paraId="78759ACA" w14:textId="77777777" w:rsidR="00EC6E4B" w:rsidRPr="00856A7D" w:rsidRDefault="00EC6E4B">
      <w:pPr>
        <w:rPr>
          <w:rFonts w:asciiTheme="minorHAnsi" w:hAnsiTheme="minorHAnsi" w:cstheme="minorHAnsi"/>
        </w:rPr>
      </w:pPr>
    </w:p>
    <w:sectPr w:rsidR="00EC6E4B" w:rsidRPr="00856A7D" w:rsidSect="00CE0F5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46C"/>
    <w:multiLevelType w:val="hybridMultilevel"/>
    <w:tmpl w:val="3F64682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1441EBD"/>
    <w:multiLevelType w:val="hybridMultilevel"/>
    <w:tmpl w:val="E410F00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E8B6AC8"/>
    <w:multiLevelType w:val="hybridMultilevel"/>
    <w:tmpl w:val="85F0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6E5A"/>
    <w:multiLevelType w:val="hybridMultilevel"/>
    <w:tmpl w:val="7066793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371958445">
    <w:abstractNumId w:val="0"/>
  </w:num>
  <w:num w:numId="2" w16cid:durableId="1786583990">
    <w:abstractNumId w:val="3"/>
  </w:num>
  <w:num w:numId="3" w16cid:durableId="1246185653">
    <w:abstractNumId w:val="1"/>
  </w:num>
  <w:num w:numId="4" w16cid:durableId="960379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54"/>
    <w:rsid w:val="00017CD3"/>
    <w:rsid w:val="000276A9"/>
    <w:rsid w:val="00107CA7"/>
    <w:rsid w:val="0021656E"/>
    <w:rsid w:val="00335CC9"/>
    <w:rsid w:val="005A7AA0"/>
    <w:rsid w:val="005C165D"/>
    <w:rsid w:val="005E138C"/>
    <w:rsid w:val="007758E8"/>
    <w:rsid w:val="007B06D0"/>
    <w:rsid w:val="007D48CA"/>
    <w:rsid w:val="00821AD8"/>
    <w:rsid w:val="00856A7D"/>
    <w:rsid w:val="008A1EF4"/>
    <w:rsid w:val="00A25B7D"/>
    <w:rsid w:val="00A738E6"/>
    <w:rsid w:val="00A8764F"/>
    <w:rsid w:val="00AB27E3"/>
    <w:rsid w:val="00AE2C76"/>
    <w:rsid w:val="00B574F8"/>
    <w:rsid w:val="00C370BA"/>
    <w:rsid w:val="00CE0F54"/>
    <w:rsid w:val="00CE2670"/>
    <w:rsid w:val="00D00E63"/>
    <w:rsid w:val="00DA6CF1"/>
    <w:rsid w:val="00DA731A"/>
    <w:rsid w:val="00EB25B9"/>
    <w:rsid w:val="00E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B8514"/>
  <w14:defaultImageDpi w14:val="32767"/>
  <w15:chartTrackingRefBased/>
  <w15:docId w15:val="{FD9118D8-E4AC-FB47-8894-FF928600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0F5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F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F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F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F54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,Maire,L"/>
    <w:basedOn w:val="Normal"/>
    <w:link w:val="ListParagraphChar"/>
    <w:uiPriority w:val="34"/>
    <w:qFormat/>
    <w:rsid w:val="00CE0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F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F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F5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E0F54"/>
  </w:style>
  <w:style w:type="character" w:customStyle="1" w:styleId="BodyTextChar">
    <w:name w:val="Body Text Char"/>
    <w:basedOn w:val="DefaultParagraphFont"/>
    <w:link w:val="BodyText"/>
    <w:uiPriority w:val="1"/>
    <w:rsid w:val="00CE0F54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E0F54"/>
    <w:pPr>
      <w:spacing w:before="122"/>
      <w:ind w:left="107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basedOn w:val="DefaultParagraphFont"/>
    <w:link w:val="ListParagraph"/>
    <w:uiPriority w:val="34"/>
    <w:qFormat/>
    <w:locked/>
    <w:rsid w:val="00CE0F54"/>
  </w:style>
  <w:style w:type="character" w:styleId="Hyperlink">
    <w:name w:val="Hyperlink"/>
    <w:basedOn w:val="DefaultParagraphFont"/>
    <w:uiPriority w:val="99"/>
    <w:unhideWhenUsed/>
    <w:rsid w:val="00CE0F54"/>
    <w:rPr>
      <w:color w:val="0000FF"/>
      <w:u w:val="single"/>
    </w:rPr>
  </w:style>
  <w:style w:type="character" w:customStyle="1" w:styleId="legaddition">
    <w:name w:val="legaddition"/>
    <w:basedOn w:val="DefaultParagraphFont"/>
    <w:rsid w:val="00CE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McCrudden</dc:creator>
  <cp:keywords/>
  <dc:description/>
  <cp:lastModifiedBy>Christopher McCrudden</cp:lastModifiedBy>
  <cp:revision>4</cp:revision>
  <dcterms:created xsi:type="dcterms:W3CDTF">2024-10-16T13:24:00Z</dcterms:created>
  <dcterms:modified xsi:type="dcterms:W3CDTF">2024-10-23T10:02:00Z</dcterms:modified>
</cp:coreProperties>
</file>